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54ADC" w14:textId="3D053120" w:rsidR="00466573" w:rsidRPr="00FC6A72" w:rsidRDefault="00FC6A72">
      <w:pPr>
        <w:pStyle w:val="Title"/>
        <w:rPr>
          <w:sz w:val="40"/>
          <w:szCs w:val="40"/>
        </w:rPr>
      </w:pPr>
      <w:r w:rsidRPr="00FC6A72">
        <w:rPr>
          <w:sz w:val="40"/>
          <w:szCs w:val="40"/>
        </w:rPr>
        <w:t xml:space="preserve">How UFO Work with </w:t>
      </w:r>
      <w:r w:rsidR="00000000" w:rsidRPr="00FC6A72">
        <w:rPr>
          <w:sz w:val="40"/>
          <w:szCs w:val="40"/>
        </w:rPr>
        <w:t>Interstellar Acoustic–Photonic Field Hypothesis: An Exploratory Framework for a Hybrid Warp Engine, Whole-Vehicle Acceleration, and Effective Inertial Response</w:t>
      </w:r>
    </w:p>
    <w:p w14:paraId="18BE837E" w14:textId="0B3A6894" w:rsidR="00466573" w:rsidRDefault="00000000" w:rsidP="00FC6A72">
      <w:r>
        <w:rPr>
          <w:b/>
        </w:rPr>
        <w:t>Author</w:t>
      </w:r>
      <w:r>
        <w:rPr>
          <w:b/>
        </w:rPr>
        <w:br/>
      </w:r>
      <w:r>
        <w:t>Gabino Casanova</w:t>
      </w:r>
      <w:r>
        <w:br/>
        <w:t>Interstellar Innovator, Analyst, and Theorist</w:t>
      </w:r>
      <w:r>
        <w:br/>
      </w:r>
      <w:r>
        <w:br/>
        <w:t>Abstract</w:t>
      </w:r>
    </w:p>
    <w:p w14:paraId="5FC72940" w14:textId="77777777" w:rsidR="00466573" w:rsidRDefault="00000000">
      <w:r>
        <w:t>This exploratory paper presents a conceptual framework for a hybrid propulsion architecture that combines acoustic synchronization with a photon-assisted propulsion system. The central hypothesis is not that sound directly produces thrust or reduces inertia, but that a resonant acoustic field could help establish and maintain a coherent state surrounding an entire spacecraft while a separate propulsion system supplies the momentum required for motion. The paper distinguishes established physics from speculative concepts and identifies experimental pathways that could test measurable effects.</w:t>
      </w:r>
    </w:p>
    <w:p w14:paraId="76866A18" w14:textId="77777777" w:rsidR="00466573" w:rsidRDefault="00000000">
      <w:pPr>
        <w:pStyle w:val="Heading1"/>
      </w:pPr>
      <w:r>
        <w:t>Keywords</w:t>
      </w:r>
    </w:p>
    <w:p w14:paraId="1DA0FF80" w14:textId="77777777" w:rsidR="00466573" w:rsidRDefault="00000000">
      <w:r>
        <w:t>Acoustic resonance; propulsion; warp concepts; inertia; gravity; photon propulsion; plasma; hybrid engine; spacecraft; exploratory physics</w:t>
      </w:r>
    </w:p>
    <w:p w14:paraId="447690D1" w14:textId="77777777" w:rsidR="00466573" w:rsidRDefault="00000000">
      <w:pPr>
        <w:pStyle w:val="Heading1"/>
      </w:pPr>
      <w:r>
        <w:t>1. Introduction</w:t>
      </w:r>
    </w:p>
    <w:p w14:paraId="139E6810" w14:textId="77777777" w:rsidR="00466573" w:rsidRDefault="00000000">
      <w:r>
        <w:t>Modern spacecraft must overcome gravity, atmospheric drag, and inertial resistance during launch. Once in deep space, atmospheric drag is essentially absent and gravitational influences may become much smaller, yet inertial resistance remains. This paper explores whether a hybrid system could improve propulsion efficiency or whole-vehicle acceleration without assuming that established laws of physics are violated.</w:t>
      </w:r>
    </w:p>
    <w:p w14:paraId="3F0AE1E3" w14:textId="77777777" w:rsidR="00466573" w:rsidRDefault="00000000">
      <w:pPr>
        <w:pStyle w:val="Heading1"/>
      </w:pPr>
      <w:r>
        <w:t>2. Established Physics</w:t>
      </w:r>
    </w:p>
    <w:p w14:paraId="1F88A486" w14:textId="77777777" w:rsidR="00466573" w:rsidRDefault="00000000">
      <w:r>
        <w:t>Current physics distinguishes weight from inertia. Weight depends on the local gravitational field, whereas inertia is an object's resistance to acceleration. A spacecraft in deep space may be nearly weightless but still retains the same inertial mass. Consequently, reducing launch costs and reducing inertial response are separate engineering and scientific challenges.</w:t>
      </w:r>
    </w:p>
    <w:p w14:paraId="581C6119" w14:textId="77777777" w:rsidR="00466573" w:rsidRDefault="00000000">
      <w:pPr>
        <w:pStyle w:val="Heading1"/>
      </w:pPr>
      <w:r>
        <w:lastRenderedPageBreak/>
        <w:t>3. Proposed Hybrid Acoustic–Photonic Framework</w:t>
      </w:r>
    </w:p>
    <w:p w14:paraId="53C5F3AB" w14:textId="77777777" w:rsidR="00466573" w:rsidRDefault="00000000">
      <w:r>
        <w:t>The proposed architecture consists of three synchronized acoustic regions (upper, middle, and lower) coupled through the spacecraft structure. These acoustic systems are hypothesized to maintain a coherent resonant state rather than generate propulsion directly. A separate photon-assisted or plasma-based propulsion system would provide directional momentum. Together, the systems may improve structural synchronization, plasma stability, or energy distribution. These possibilities remain hypothetical and require experimental verification.</w:t>
      </w:r>
    </w:p>
    <w:p w14:paraId="6C21BD10" w14:textId="77777777" w:rsidR="00466573" w:rsidRDefault="00000000">
      <w:pPr>
        <w:pStyle w:val="Heading1"/>
      </w:pPr>
      <w:r>
        <w:t>4. Bubble Field Hypothesis</w:t>
      </w:r>
    </w:p>
    <w:p w14:paraId="655EF5C3" w14:textId="77777777" w:rsidR="00466573" w:rsidRDefault="00000000">
      <w:r>
        <w:t>The hypothesis proposes a surrounding field or 'bubble' encompassing the hull, crew, equipment, and supplies. The intent is to investigate whether the entire enclosed volume can respond more uniformly to propulsion inputs. This is a conceptual model and should not be interpreted as evidence that inertia or gravity can presently be modified.</w:t>
      </w:r>
    </w:p>
    <w:p w14:paraId="070729DD" w14:textId="77777777" w:rsidR="00466573" w:rsidRDefault="00000000">
      <w:pPr>
        <w:pStyle w:val="Heading1"/>
      </w:pPr>
      <w:r>
        <w:t>5. Earth and Deep-Space Operations</w:t>
      </w:r>
    </w:p>
    <w:p w14:paraId="38DDA59A" w14:textId="77777777" w:rsidR="00466573" w:rsidRDefault="00000000">
      <w:r>
        <w:t>On Earth, propulsion must overcome gravity, atmospheric drag, and inertia. In deep space, drag is negligible and gravity is often much weaker, making propulsion more efficient even though inertia remains unchanged. The proposed framework therefore separates atmospheric operations from deep-space cruise.</w:t>
      </w:r>
    </w:p>
    <w:p w14:paraId="2A26E621" w14:textId="77777777" w:rsidR="00466573" w:rsidRDefault="00000000">
      <w:pPr>
        <w:pStyle w:val="Heading1"/>
      </w:pPr>
      <w:r>
        <w:t>6. Research Questions</w:t>
      </w:r>
    </w:p>
    <w:p w14:paraId="31574A05" w14:textId="77777777" w:rsidR="00466573" w:rsidRDefault="00000000">
      <w:pPr>
        <w:pStyle w:val="ListBullet"/>
      </w:pPr>
      <w:r>
        <w:t>Can resonant acoustic fields measurably improve plasma stability or propulsion efficiency?</w:t>
      </w:r>
    </w:p>
    <w:p w14:paraId="7CBF66F9" w14:textId="77777777" w:rsidR="00466573" w:rsidRDefault="00000000">
      <w:pPr>
        <w:pStyle w:val="ListBullet"/>
      </w:pPr>
      <w:r>
        <w:t>Can synchronized structural resonance reduce internal mechanical stress during acceleration?</w:t>
      </w:r>
    </w:p>
    <w:p w14:paraId="55DE5165" w14:textId="77777777" w:rsidR="00466573" w:rsidRDefault="00000000">
      <w:pPr>
        <w:pStyle w:val="ListBullet"/>
      </w:pPr>
      <w:r>
        <w:t>Can any observed changes in acceleration be explained by known physics, or do they indicate new phenomena?</w:t>
      </w:r>
    </w:p>
    <w:p w14:paraId="4CE5821B" w14:textId="77777777" w:rsidR="00466573" w:rsidRDefault="00000000">
      <w:pPr>
        <w:pStyle w:val="ListBullet"/>
      </w:pPr>
      <w:r>
        <w:t>What measurements are required to distinguish true effects from vibration, thermal expansion, ion wind, or electromagnetic interactions?</w:t>
      </w:r>
    </w:p>
    <w:p w14:paraId="1BBD2DA9" w14:textId="77777777" w:rsidR="00466573" w:rsidRDefault="00000000">
      <w:pPr>
        <w:pStyle w:val="Heading1"/>
      </w:pPr>
      <w:r>
        <w:t>7. Experimental Concepts</w:t>
      </w:r>
    </w:p>
    <w:p w14:paraId="438D7CCB" w14:textId="77777777" w:rsidR="00466573" w:rsidRDefault="00000000">
      <w:r>
        <w:t>Initial investigations should employ laboratory-scale resonant chambers, piezoelectric actuators, plasma sources, high-speed accelerometers, laser interferometry, force sensors, and independent replication. Experiments should quantify thrust, acceleration, power consumption, vibration, and electromagnetic effects.</w:t>
      </w:r>
    </w:p>
    <w:p w14:paraId="25F94DC4" w14:textId="77777777" w:rsidR="00466573" w:rsidRDefault="00000000">
      <w:pPr>
        <w:pStyle w:val="Heading1"/>
      </w:pPr>
      <w:r>
        <w:lastRenderedPageBreak/>
        <w:t>8. Discussion</w:t>
      </w:r>
    </w:p>
    <w:p w14:paraId="68291FC2" w14:textId="77777777" w:rsidR="00466573" w:rsidRDefault="00000000">
      <w:r>
        <w:t>The concepts described are speculative. No verified experimental evidence currently demonstrates that acoustic fields reduce inertial mass or create warp-like motion. Nevertheless, acoustic resonance, plasma physics, advanced materials, and photon interactions are legitimate scientific disciplines, and interdisciplinary research may reveal useful engineering applications even if the central hypothesis is disproven.</w:t>
      </w:r>
    </w:p>
    <w:p w14:paraId="0CB4413A" w14:textId="77777777" w:rsidR="00466573" w:rsidRDefault="00000000">
      <w:pPr>
        <w:pStyle w:val="Heading1"/>
      </w:pPr>
      <w:r>
        <w:t>Conclusion</w:t>
      </w:r>
    </w:p>
    <w:p w14:paraId="7A37092F" w14:textId="77777777" w:rsidR="00466573" w:rsidRDefault="00000000">
      <w:r>
        <w:t>This paper proposes an exploratory research framework rather than a completed propulsion theory. The primary contribution is the separation of acoustic synchronization from propulsion generation while focusing future experiments on measurable, repeatable phenomena.</w:t>
      </w:r>
    </w:p>
    <w:p w14:paraId="2C685C57" w14:textId="77777777" w:rsidR="00466573" w:rsidRDefault="00000000">
      <w:pPr>
        <w:pStyle w:val="Heading1"/>
      </w:pPr>
      <w:r>
        <w:t>Disclaimer</w:t>
      </w:r>
    </w:p>
    <w:p w14:paraId="3AAB50A5" w14:textId="77777777" w:rsidR="00466573" w:rsidRDefault="00000000">
      <w:r>
        <w:t>This document presents an original exploratory hypothesis intended to encourage scientific discussion. Several concepts extend beyond currently verified physical models and should not be interpreted as established scientific fact. Any claim involving effective inertia reduction, warp propulsion, or novel field effects requires rigorous experimental validation and independent replication.</w:t>
      </w:r>
    </w:p>
    <w:p w14:paraId="59419804" w14:textId="77777777" w:rsidR="00466573" w:rsidRDefault="00000000">
      <w:pPr>
        <w:pStyle w:val="Heading1"/>
      </w:pPr>
      <w:r>
        <w:t>Selected References</w:t>
      </w:r>
    </w:p>
    <w:p w14:paraId="2455F422" w14:textId="77777777" w:rsidR="00FC6A72" w:rsidRPr="00FC6A72" w:rsidRDefault="00FC6A72" w:rsidP="00FC6A72">
      <w:pPr>
        <w:pStyle w:val="ListBullet"/>
      </w:pPr>
      <w:r w:rsidRPr="00FC6A72">
        <w:t xml:space="preserve">Rayleigh, J. W. S. (1896). </w:t>
      </w:r>
      <w:r w:rsidRPr="00FC6A72">
        <w:rPr>
          <w:i/>
          <w:iCs/>
        </w:rPr>
        <w:t>The Theory of Sound</w:t>
      </w:r>
      <w:r w:rsidRPr="00FC6A72">
        <w:t xml:space="preserve"> (Vols. I &amp; II). Macmillan &amp; Co., London. </w:t>
      </w:r>
    </w:p>
    <w:p w14:paraId="1083736D" w14:textId="77777777" w:rsidR="00FC6A72" w:rsidRPr="00FC6A72" w:rsidRDefault="00FC6A72" w:rsidP="00FC6A72">
      <w:pPr>
        <w:pStyle w:val="ListBullet"/>
      </w:pPr>
      <w:r w:rsidRPr="00FC6A72">
        <w:t xml:space="preserve">Langevin, P. (1917). </w:t>
      </w:r>
      <w:r w:rsidRPr="00FC6A72">
        <w:rPr>
          <w:i/>
          <w:iCs/>
        </w:rPr>
        <w:t>The Use of Piezoelectric Quartz for the Generation and Detection of High-Frequency Sound Waves</w:t>
      </w:r>
      <w:r w:rsidRPr="00FC6A72">
        <w:t xml:space="preserve">. Paris Academy of Sciences. </w:t>
      </w:r>
    </w:p>
    <w:p w14:paraId="1DEFE37B" w14:textId="77777777" w:rsidR="00FC6A72" w:rsidRPr="00FC6A72" w:rsidRDefault="00FC6A72" w:rsidP="00FC6A72">
      <w:pPr>
        <w:pStyle w:val="ListBullet"/>
      </w:pPr>
      <w:r w:rsidRPr="00FC6A72">
        <w:t xml:space="preserve">Gor'kov, L. P. (1962). </w:t>
      </w:r>
      <w:r w:rsidRPr="00FC6A72">
        <w:rPr>
          <w:i/>
          <w:iCs/>
        </w:rPr>
        <w:t>On the Forces Acting on a Small Particle in an Acoustical Field in an Ideal Fluid</w:t>
      </w:r>
      <w:r w:rsidRPr="00FC6A72">
        <w:t xml:space="preserve">. </w:t>
      </w:r>
      <w:r w:rsidRPr="00FC6A72">
        <w:rPr>
          <w:i/>
          <w:iCs/>
        </w:rPr>
        <w:t xml:space="preserve">Soviet Physics </w:t>
      </w:r>
      <w:proofErr w:type="spellStart"/>
      <w:r w:rsidRPr="00FC6A72">
        <w:rPr>
          <w:i/>
          <w:iCs/>
        </w:rPr>
        <w:t>Doklady</w:t>
      </w:r>
      <w:proofErr w:type="spellEnd"/>
      <w:r w:rsidRPr="00FC6A72">
        <w:t xml:space="preserve">, </w:t>
      </w:r>
      <w:r w:rsidRPr="00FC6A72">
        <w:rPr>
          <w:b/>
          <w:bCs/>
        </w:rPr>
        <w:t>6</w:t>
      </w:r>
      <w:r w:rsidRPr="00FC6A72">
        <w:t xml:space="preserve">, 773–775. </w:t>
      </w:r>
    </w:p>
    <w:p w14:paraId="16F6B915" w14:textId="77777777" w:rsidR="00FC6A72" w:rsidRPr="00FC6A72" w:rsidRDefault="00FC6A72" w:rsidP="00FC6A72">
      <w:pPr>
        <w:pStyle w:val="ListBullet"/>
      </w:pPr>
      <w:r w:rsidRPr="00FC6A72">
        <w:t xml:space="preserve">Marzo, A., Seah, S. A., Drinkwater, B. W., Sahoo, D. R., Long, B., &amp; Subramanian, S. (2015). </w:t>
      </w:r>
      <w:r w:rsidRPr="00FC6A72">
        <w:rPr>
          <w:i/>
          <w:iCs/>
        </w:rPr>
        <w:t>Holographic Acoustic Elements for Manipulation of Levitated Objects</w:t>
      </w:r>
      <w:r w:rsidRPr="00FC6A72">
        <w:t xml:space="preserve">. </w:t>
      </w:r>
      <w:r w:rsidRPr="00FC6A72">
        <w:rPr>
          <w:i/>
          <w:iCs/>
        </w:rPr>
        <w:t>Nature Communications</w:t>
      </w:r>
      <w:r w:rsidRPr="00FC6A72">
        <w:t xml:space="preserve">, </w:t>
      </w:r>
      <w:r w:rsidRPr="00FC6A72">
        <w:rPr>
          <w:b/>
          <w:bCs/>
        </w:rPr>
        <w:t>6</w:t>
      </w:r>
      <w:r w:rsidRPr="00FC6A72">
        <w:t xml:space="preserve">, 8661. </w:t>
      </w:r>
    </w:p>
    <w:p w14:paraId="1227147A" w14:textId="77777777" w:rsidR="00FC6A72" w:rsidRPr="00FC6A72" w:rsidRDefault="00FC6A72" w:rsidP="00FC6A72">
      <w:pPr>
        <w:pStyle w:val="ListBullet"/>
      </w:pPr>
      <w:r w:rsidRPr="00FC6A72">
        <w:t xml:space="preserve">Foresti, D., Nabavi, M., Klingauf, M., Ferrari, A., &amp; </w:t>
      </w:r>
      <w:proofErr w:type="spellStart"/>
      <w:r w:rsidRPr="00FC6A72">
        <w:t>Poulikakos</w:t>
      </w:r>
      <w:proofErr w:type="spellEnd"/>
      <w:r w:rsidRPr="00FC6A72">
        <w:t xml:space="preserve">, D. (2013). </w:t>
      </w:r>
      <w:r w:rsidRPr="00FC6A72">
        <w:rPr>
          <w:i/>
          <w:iCs/>
        </w:rPr>
        <w:t>Acoustophoretic Contactless Transport and Handling of Matter in Air</w:t>
      </w:r>
      <w:r w:rsidRPr="00FC6A72">
        <w:t xml:space="preserve">. </w:t>
      </w:r>
      <w:r w:rsidRPr="00FC6A72">
        <w:rPr>
          <w:i/>
          <w:iCs/>
        </w:rPr>
        <w:t>Proceedings of the National Academy of Sciences</w:t>
      </w:r>
      <w:r w:rsidRPr="00FC6A72">
        <w:t xml:space="preserve">, </w:t>
      </w:r>
      <w:r w:rsidRPr="00FC6A72">
        <w:rPr>
          <w:b/>
          <w:bCs/>
        </w:rPr>
        <w:t>110</w:t>
      </w:r>
      <w:r w:rsidRPr="00FC6A72">
        <w:t xml:space="preserve">(31), 12549–12554. </w:t>
      </w:r>
    </w:p>
    <w:p w14:paraId="0049487E" w14:textId="77777777" w:rsidR="00FC6A72" w:rsidRPr="00FC6A72" w:rsidRDefault="00FC6A72" w:rsidP="00FC6A72">
      <w:pPr>
        <w:pStyle w:val="ListBullet"/>
      </w:pPr>
      <w:r w:rsidRPr="00FC6A72">
        <w:t xml:space="preserve">Jackson, J. D. (1999). </w:t>
      </w:r>
      <w:r w:rsidRPr="00FC6A72">
        <w:rPr>
          <w:i/>
          <w:iCs/>
        </w:rPr>
        <w:t>Classical Electrodynamics</w:t>
      </w:r>
      <w:r w:rsidRPr="00FC6A72">
        <w:t xml:space="preserve"> (3rd ed.). John Wiley &amp; Sons. </w:t>
      </w:r>
    </w:p>
    <w:p w14:paraId="166EB7C8" w14:textId="77777777" w:rsidR="00FC6A72" w:rsidRPr="00FC6A72" w:rsidRDefault="00FC6A72" w:rsidP="00FC6A72">
      <w:pPr>
        <w:pStyle w:val="ListBullet"/>
      </w:pPr>
      <w:r w:rsidRPr="00FC6A72">
        <w:t xml:space="preserve">Chen, F. F. (2016). </w:t>
      </w:r>
      <w:r w:rsidRPr="00FC6A72">
        <w:rPr>
          <w:i/>
          <w:iCs/>
        </w:rPr>
        <w:t>Introduction to Plasma Physics and Controlled Fusion</w:t>
      </w:r>
      <w:r w:rsidRPr="00FC6A72">
        <w:t xml:space="preserve"> (3rd ed.). Springer. </w:t>
      </w:r>
    </w:p>
    <w:p w14:paraId="308D3B5E" w14:textId="77777777" w:rsidR="00FC6A72" w:rsidRPr="00FC6A72" w:rsidRDefault="00FC6A72" w:rsidP="00FC6A72">
      <w:pPr>
        <w:pStyle w:val="ListBullet"/>
      </w:pPr>
      <w:r w:rsidRPr="00FC6A72">
        <w:t xml:space="preserve">Sutton, G. P., &amp; </w:t>
      </w:r>
      <w:proofErr w:type="spellStart"/>
      <w:r w:rsidRPr="00FC6A72">
        <w:t>Biblarz</w:t>
      </w:r>
      <w:proofErr w:type="spellEnd"/>
      <w:r w:rsidRPr="00FC6A72">
        <w:t xml:space="preserve">, O. (2017). </w:t>
      </w:r>
      <w:r w:rsidRPr="00FC6A72">
        <w:rPr>
          <w:i/>
          <w:iCs/>
        </w:rPr>
        <w:t>Rocket Propulsion Elements</w:t>
      </w:r>
      <w:r w:rsidRPr="00FC6A72">
        <w:t xml:space="preserve"> (9th ed.). John Wiley &amp; Sons. </w:t>
      </w:r>
    </w:p>
    <w:p w14:paraId="352B4079" w14:textId="77777777" w:rsidR="00FC6A72" w:rsidRPr="00FC6A72" w:rsidRDefault="00FC6A72" w:rsidP="00FC6A72">
      <w:pPr>
        <w:pStyle w:val="ListBullet"/>
      </w:pPr>
      <w:hyperlink r:id="rId6" w:tgtFrame="_blank" w:history="1">
        <w:r w:rsidRPr="00FC6A72">
          <w:rPr>
            <w:rStyle w:val="Hyperlink"/>
          </w:rPr>
          <w:t>NASA Glenn Research Center – Guide to Rockets</w:t>
        </w:r>
      </w:hyperlink>
      <w:r w:rsidRPr="00FC6A72">
        <w:t xml:space="preserve">. </w:t>
      </w:r>
    </w:p>
    <w:p w14:paraId="57553E45" w14:textId="77777777" w:rsidR="00FC6A72" w:rsidRPr="00FC6A72" w:rsidRDefault="00FC6A72" w:rsidP="00FC6A72">
      <w:pPr>
        <w:pStyle w:val="ListBullet"/>
      </w:pPr>
      <w:hyperlink r:id="rId7" w:tgtFrame="_blank" w:history="1">
        <w:r w:rsidRPr="00FC6A72">
          <w:rPr>
            <w:rStyle w:val="Hyperlink"/>
          </w:rPr>
          <w:t>NASA Glenn Research Center – Propulsion System</w:t>
        </w:r>
      </w:hyperlink>
      <w:r w:rsidRPr="00FC6A72">
        <w:t xml:space="preserve">. </w:t>
      </w:r>
    </w:p>
    <w:p w14:paraId="7C42AE83" w14:textId="77777777" w:rsidR="00FC6A72" w:rsidRPr="00FC6A72" w:rsidRDefault="00FC6A72" w:rsidP="00FC6A72">
      <w:pPr>
        <w:pStyle w:val="ListBullet"/>
      </w:pPr>
      <w:hyperlink r:id="rId8" w:tgtFrame="_blank" w:history="1">
        <w:r w:rsidRPr="00FC6A72">
          <w:rPr>
            <w:rStyle w:val="Hyperlink"/>
          </w:rPr>
          <w:t>NASA Science – Basics of Space Flight: The Rocket Equation</w:t>
        </w:r>
      </w:hyperlink>
      <w:r w:rsidRPr="00FC6A72">
        <w:t xml:space="preserve">. </w:t>
      </w:r>
    </w:p>
    <w:p w14:paraId="252DC271" w14:textId="77777777" w:rsidR="00FC6A72" w:rsidRPr="00FC6A72" w:rsidRDefault="00FC6A72" w:rsidP="00FC6A72">
      <w:pPr>
        <w:pStyle w:val="ListBullet"/>
      </w:pPr>
      <w:r w:rsidRPr="00FC6A72">
        <w:lastRenderedPageBreak/>
        <w:t xml:space="preserve">Einstein, A. (1905). </w:t>
      </w:r>
      <w:r w:rsidRPr="00FC6A72">
        <w:rPr>
          <w:i/>
          <w:iCs/>
        </w:rPr>
        <w:t>On the Electrodynamics of Moving Bodies</w:t>
      </w:r>
      <w:r w:rsidRPr="00FC6A72">
        <w:t xml:space="preserve">. </w:t>
      </w:r>
      <w:r w:rsidRPr="00FC6A72">
        <w:rPr>
          <w:i/>
          <w:iCs/>
        </w:rPr>
        <w:t xml:space="preserve">Annalen der </w:t>
      </w:r>
      <w:proofErr w:type="spellStart"/>
      <w:r w:rsidRPr="00FC6A72">
        <w:rPr>
          <w:i/>
          <w:iCs/>
        </w:rPr>
        <w:t>Physik</w:t>
      </w:r>
      <w:proofErr w:type="spellEnd"/>
      <w:r w:rsidRPr="00FC6A72">
        <w:t xml:space="preserve">, </w:t>
      </w:r>
      <w:r w:rsidRPr="00FC6A72">
        <w:rPr>
          <w:b/>
          <w:bCs/>
        </w:rPr>
        <w:t>17</w:t>
      </w:r>
      <w:r w:rsidRPr="00FC6A72">
        <w:t xml:space="preserve">, 891–921. </w:t>
      </w:r>
    </w:p>
    <w:p w14:paraId="67891D6C" w14:textId="77777777" w:rsidR="00FC6A72" w:rsidRPr="00FC6A72" w:rsidRDefault="00FC6A72" w:rsidP="00FC6A72">
      <w:pPr>
        <w:pStyle w:val="ListBullet"/>
      </w:pPr>
      <w:r w:rsidRPr="00FC6A72">
        <w:t xml:space="preserve">Einstein, A. (1916). </w:t>
      </w:r>
      <w:r w:rsidRPr="00FC6A72">
        <w:rPr>
          <w:i/>
          <w:iCs/>
        </w:rPr>
        <w:t>The Foundation of the General Theory of Relativity</w:t>
      </w:r>
      <w:r w:rsidRPr="00FC6A72">
        <w:t xml:space="preserve">. </w:t>
      </w:r>
      <w:r w:rsidRPr="00FC6A72">
        <w:rPr>
          <w:i/>
          <w:iCs/>
        </w:rPr>
        <w:t xml:space="preserve">Annalen der </w:t>
      </w:r>
      <w:proofErr w:type="spellStart"/>
      <w:r w:rsidRPr="00FC6A72">
        <w:rPr>
          <w:i/>
          <w:iCs/>
        </w:rPr>
        <w:t>Physik</w:t>
      </w:r>
      <w:proofErr w:type="spellEnd"/>
      <w:r w:rsidRPr="00FC6A72">
        <w:t xml:space="preserve">, </w:t>
      </w:r>
      <w:r w:rsidRPr="00FC6A72">
        <w:rPr>
          <w:b/>
          <w:bCs/>
        </w:rPr>
        <w:t>49</w:t>
      </w:r>
      <w:r w:rsidRPr="00FC6A72">
        <w:t xml:space="preserve">, 769–822. </w:t>
      </w:r>
    </w:p>
    <w:p w14:paraId="123AB72B" w14:textId="77777777" w:rsidR="00FC6A72" w:rsidRPr="00FC6A72" w:rsidRDefault="00FC6A72" w:rsidP="00FC6A72">
      <w:pPr>
        <w:pStyle w:val="ListBullet"/>
      </w:pPr>
      <w:r w:rsidRPr="00FC6A72">
        <w:t xml:space="preserve">Misner, C. W., Thorne, K. S., &amp; Wheeler, J. A. (1973). </w:t>
      </w:r>
      <w:r w:rsidRPr="00FC6A72">
        <w:rPr>
          <w:i/>
          <w:iCs/>
        </w:rPr>
        <w:t>Gravitation</w:t>
      </w:r>
      <w:r w:rsidRPr="00FC6A72">
        <w:t xml:space="preserve">. W. H. Freeman. </w:t>
      </w:r>
    </w:p>
    <w:p w14:paraId="7191948E" w14:textId="77777777" w:rsidR="00FC6A72" w:rsidRPr="00FC6A72" w:rsidRDefault="00FC6A72" w:rsidP="00FC6A72">
      <w:pPr>
        <w:pStyle w:val="ListBullet"/>
      </w:pPr>
      <w:r w:rsidRPr="00FC6A72">
        <w:t xml:space="preserve">Taylor, E. F., &amp; Wheeler, J. A. (1992). </w:t>
      </w:r>
      <w:r w:rsidRPr="00FC6A72">
        <w:rPr>
          <w:i/>
          <w:iCs/>
        </w:rPr>
        <w:t>Spacetime Physics: Introduction to Special Relativity</w:t>
      </w:r>
      <w:r w:rsidRPr="00FC6A72">
        <w:t xml:space="preserve"> (2nd ed.). W. H. Freeman. </w:t>
      </w:r>
    </w:p>
    <w:p w14:paraId="78FD04AB" w14:textId="77777777" w:rsidR="00FC6A72" w:rsidRPr="00FC6A72" w:rsidRDefault="00FC6A72" w:rsidP="00FC6A72">
      <w:pPr>
        <w:pStyle w:val="ListBullet"/>
      </w:pPr>
      <w:r w:rsidRPr="00FC6A72">
        <w:t xml:space="preserve">Alcubierre, M. (1994). </w:t>
      </w:r>
      <w:r w:rsidRPr="00FC6A72">
        <w:rPr>
          <w:i/>
          <w:iCs/>
        </w:rPr>
        <w:t>The Warp Drive: Hyper-Fast Travel Within General Relativity</w:t>
      </w:r>
      <w:r w:rsidRPr="00FC6A72">
        <w:t xml:space="preserve">. </w:t>
      </w:r>
      <w:r w:rsidRPr="00FC6A72">
        <w:rPr>
          <w:i/>
          <w:iCs/>
        </w:rPr>
        <w:t>Classical and Quantum Gravity</w:t>
      </w:r>
      <w:r w:rsidRPr="00FC6A72">
        <w:t xml:space="preserve">, </w:t>
      </w:r>
      <w:r w:rsidRPr="00FC6A72">
        <w:rPr>
          <w:b/>
          <w:bCs/>
        </w:rPr>
        <w:t>11</w:t>
      </w:r>
      <w:r w:rsidRPr="00FC6A72">
        <w:t xml:space="preserve">(5), L73–L77. </w:t>
      </w:r>
    </w:p>
    <w:p w14:paraId="1DA90258" w14:textId="77777777" w:rsidR="00FC6A72" w:rsidRPr="00FC6A72" w:rsidRDefault="00FC6A72" w:rsidP="00FC6A72">
      <w:pPr>
        <w:pStyle w:val="ListBullet"/>
      </w:pPr>
      <w:r w:rsidRPr="00FC6A72">
        <w:t xml:space="preserve">Landau, L. D., &amp; Lifshitz, E. M. (1987). </w:t>
      </w:r>
      <w:r w:rsidRPr="00FC6A72">
        <w:rPr>
          <w:i/>
          <w:iCs/>
        </w:rPr>
        <w:t>Fluid Mechanics</w:t>
      </w:r>
      <w:r w:rsidRPr="00FC6A72">
        <w:t xml:space="preserve"> (2nd ed.). Pergamon Press. </w:t>
      </w:r>
    </w:p>
    <w:p w14:paraId="77CBA4EF" w14:textId="77777777" w:rsidR="00FC6A72" w:rsidRPr="00FC6A72" w:rsidRDefault="00FC6A72" w:rsidP="00FC6A72">
      <w:pPr>
        <w:pStyle w:val="ListBullet"/>
      </w:pPr>
      <w:r w:rsidRPr="00FC6A72">
        <w:t xml:space="preserve">Born, M., &amp; Wolf, E. (1999). </w:t>
      </w:r>
      <w:r w:rsidRPr="00FC6A72">
        <w:rPr>
          <w:i/>
          <w:iCs/>
        </w:rPr>
        <w:t>Principles of Optics</w:t>
      </w:r>
      <w:r w:rsidRPr="00FC6A72">
        <w:t xml:space="preserve"> (7th ed.). Cambridge University Press. </w:t>
      </w:r>
    </w:p>
    <w:p w14:paraId="5A836327" w14:textId="77777777" w:rsidR="00FC6A72" w:rsidRPr="00FC6A72" w:rsidRDefault="00FC6A72" w:rsidP="00FC6A72">
      <w:pPr>
        <w:pStyle w:val="ListBullet"/>
      </w:pPr>
      <w:r w:rsidRPr="00FC6A72">
        <w:t xml:space="preserve">Griffiths, D. J. (2017). </w:t>
      </w:r>
      <w:r w:rsidRPr="00FC6A72">
        <w:rPr>
          <w:i/>
          <w:iCs/>
        </w:rPr>
        <w:t>Introduction to Electrodynamics</w:t>
      </w:r>
      <w:r w:rsidRPr="00FC6A72">
        <w:t xml:space="preserve"> (4th ed.). Cambridge University Press. </w:t>
      </w:r>
    </w:p>
    <w:p w14:paraId="7D7FB298" w14:textId="77777777" w:rsidR="00FC6A72" w:rsidRPr="00FC6A72" w:rsidRDefault="00FC6A72" w:rsidP="00FC6A72">
      <w:pPr>
        <w:pStyle w:val="ListBullet"/>
      </w:pPr>
      <w:r w:rsidRPr="00FC6A72">
        <w:t xml:space="preserve">Goldstein, H., Poole, C., &amp; Safko, J. (2002). </w:t>
      </w:r>
      <w:r w:rsidRPr="00FC6A72">
        <w:rPr>
          <w:i/>
          <w:iCs/>
        </w:rPr>
        <w:t>Classical Mechanics</w:t>
      </w:r>
      <w:r w:rsidRPr="00FC6A72">
        <w:t xml:space="preserve"> (3rd ed.). Addison-Wesley.</w:t>
      </w:r>
    </w:p>
    <w:p w14:paraId="2E1F58A8" w14:textId="26F372D9" w:rsidR="00FC6A72" w:rsidRDefault="00FC6A72" w:rsidP="00FC6A72">
      <w:pPr>
        <w:pStyle w:val="ListBullet"/>
        <w:numPr>
          <w:ilvl w:val="0"/>
          <w:numId w:val="0"/>
        </w:numPr>
        <w:ind w:left="360"/>
      </w:pPr>
    </w:p>
    <w:p w14:paraId="1EB5EB5A" w14:textId="77777777" w:rsidR="00FC6A72" w:rsidRDefault="00FC6A72" w:rsidP="00FC6A72">
      <w:pPr>
        <w:pStyle w:val="ListBullet"/>
        <w:numPr>
          <w:ilvl w:val="0"/>
          <w:numId w:val="0"/>
        </w:numPr>
        <w:ind w:left="360" w:hanging="360"/>
      </w:pPr>
    </w:p>
    <w:p w14:paraId="181C705F" w14:textId="77777777" w:rsidR="00FC6A72" w:rsidRDefault="00FC6A72" w:rsidP="00FC6A72">
      <w:pPr>
        <w:pStyle w:val="ListBullet"/>
        <w:numPr>
          <w:ilvl w:val="0"/>
          <w:numId w:val="0"/>
        </w:numPr>
        <w:ind w:left="360" w:hanging="360"/>
      </w:pPr>
    </w:p>
    <w:p w14:paraId="74FA2AB8" w14:textId="77777777" w:rsidR="00FC6A72" w:rsidRDefault="00FC6A72" w:rsidP="00FC6A72">
      <w:pPr>
        <w:pStyle w:val="ListBullet"/>
        <w:numPr>
          <w:ilvl w:val="0"/>
          <w:numId w:val="0"/>
        </w:numPr>
        <w:ind w:left="360" w:hanging="360"/>
      </w:pPr>
    </w:p>
    <w:p w14:paraId="5D89A500" w14:textId="77777777" w:rsidR="00FC6A72" w:rsidRDefault="00FC6A72" w:rsidP="00FC6A72">
      <w:pPr>
        <w:pStyle w:val="ListBullet"/>
        <w:numPr>
          <w:ilvl w:val="0"/>
          <w:numId w:val="0"/>
        </w:numPr>
        <w:ind w:left="360" w:hanging="360"/>
      </w:pPr>
    </w:p>
    <w:p w14:paraId="03027F7F" w14:textId="77777777" w:rsidR="00FC6A72" w:rsidRDefault="00FC6A72" w:rsidP="00FC6A72">
      <w:pPr>
        <w:pStyle w:val="ListBullet"/>
        <w:numPr>
          <w:ilvl w:val="0"/>
          <w:numId w:val="0"/>
        </w:numPr>
        <w:ind w:left="360" w:hanging="360"/>
      </w:pPr>
    </w:p>
    <w:p w14:paraId="1FE6ED11" w14:textId="1243EE76" w:rsidR="00FC6A72" w:rsidRDefault="00FC6A72" w:rsidP="00FC6A72">
      <w:pPr>
        <w:pStyle w:val="ListBullet"/>
        <w:numPr>
          <w:ilvl w:val="0"/>
          <w:numId w:val="0"/>
        </w:numPr>
        <w:ind w:left="360" w:hanging="360"/>
      </w:pPr>
      <w:r>
        <w:rPr>
          <w:noProof/>
        </w:rPr>
        <w:drawing>
          <wp:inline distT="0" distB="0" distL="0" distR="0" wp14:anchorId="531FD259" wp14:editId="3F802519">
            <wp:extent cx="5486400" cy="3657600"/>
            <wp:effectExtent l="0" t="0" r="0" b="0"/>
            <wp:docPr id="390391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391276" name="Picture 390391276"/>
                    <pic:cNvPicPr/>
                  </pic:nvPicPr>
                  <pic:blipFill>
                    <a:blip r:embed="rId9"/>
                    <a:stretch>
                      <a:fillRect/>
                    </a:stretch>
                  </pic:blipFill>
                  <pic:spPr>
                    <a:xfrm>
                      <a:off x="0" y="0"/>
                      <a:ext cx="5486400" cy="3657600"/>
                    </a:xfrm>
                    <a:prstGeom prst="rect">
                      <a:avLst/>
                    </a:prstGeom>
                  </pic:spPr>
                </pic:pic>
              </a:graphicData>
            </a:graphic>
          </wp:inline>
        </w:drawing>
      </w:r>
    </w:p>
    <w:sectPr w:rsidR="00FC6A7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5B952B6"/>
    <w:multiLevelType w:val="multilevel"/>
    <w:tmpl w:val="B8EA7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0619735">
    <w:abstractNumId w:val="8"/>
  </w:num>
  <w:num w:numId="2" w16cid:durableId="1989242698">
    <w:abstractNumId w:val="6"/>
  </w:num>
  <w:num w:numId="3" w16cid:durableId="1023094383">
    <w:abstractNumId w:val="5"/>
  </w:num>
  <w:num w:numId="4" w16cid:durableId="1271620879">
    <w:abstractNumId w:val="4"/>
  </w:num>
  <w:num w:numId="5" w16cid:durableId="828904163">
    <w:abstractNumId w:val="7"/>
  </w:num>
  <w:num w:numId="6" w16cid:durableId="1885100446">
    <w:abstractNumId w:val="3"/>
  </w:num>
  <w:num w:numId="7" w16cid:durableId="2057854420">
    <w:abstractNumId w:val="2"/>
  </w:num>
  <w:num w:numId="8" w16cid:durableId="445396066">
    <w:abstractNumId w:val="1"/>
  </w:num>
  <w:num w:numId="9" w16cid:durableId="1391928211">
    <w:abstractNumId w:val="0"/>
  </w:num>
  <w:num w:numId="10" w16cid:durableId="1479837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66573"/>
    <w:rsid w:val="00955BD5"/>
    <w:rsid w:val="00AA1D8D"/>
    <w:rsid w:val="00B47730"/>
    <w:rsid w:val="00CB0664"/>
    <w:rsid w:val="00FC693F"/>
    <w:rsid w:val="00FC6A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76FB5B"/>
  <w14:defaultImageDpi w14:val="300"/>
  <w15:docId w15:val="{D6522129-A113-495D-AA46-DA1901939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C6A72"/>
    <w:rPr>
      <w:color w:val="0000FF" w:themeColor="hyperlink"/>
      <w:u w:val="single"/>
    </w:rPr>
  </w:style>
  <w:style w:type="character" w:styleId="UnresolvedMention">
    <w:name w:val="Unresolved Mention"/>
    <w:basedOn w:val="DefaultParagraphFont"/>
    <w:uiPriority w:val="99"/>
    <w:semiHidden/>
    <w:unhideWhenUsed/>
    <w:rsid w:val="00FC6A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ence.nasa.gov/learn/basics-of-space-flight/chapter3-2/?utm_source=chatgpt.com" TargetMode="External"/><Relationship Id="rId3" Type="http://schemas.openxmlformats.org/officeDocument/2006/relationships/styles" Target="styles.xml"/><Relationship Id="rId7" Type="http://schemas.openxmlformats.org/officeDocument/2006/relationships/hyperlink" Target="https://www1.grc.nasa.gov/beginners-guide-to-aeronautics/propulsion-system/?utm_source=chatgp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1.grc.nasa.gov/beginners-guide-to-aeronautics/guide-to-rockets/?utm_source=chatgpt.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Gabino Casanova</cp:lastModifiedBy>
  <cp:revision>2</cp:revision>
  <dcterms:created xsi:type="dcterms:W3CDTF">2013-12-23T23:15:00Z</dcterms:created>
  <dcterms:modified xsi:type="dcterms:W3CDTF">2026-07-21T15:16:00Z</dcterms:modified>
  <cp:category/>
</cp:coreProperties>
</file>